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B00D11" w:rsidRPr="00B00D11" w:rsidTr="00B00D1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00D11" w:rsidRPr="00B00D11">
              <w:trPr>
                <w:tblCellSpacing w:w="0" w:type="dxa"/>
              </w:trPr>
              <w:tc>
                <w:tcPr>
                  <w:tcW w:w="5000" w:type="pct"/>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756"/>
                    <w:gridCol w:w="4"/>
                  </w:tblGrid>
                  <w:tr w:rsidR="00B00D11" w:rsidRPr="00B00D11">
                    <w:trPr>
                      <w:tblCellSpacing w:w="0" w:type="dxa"/>
                    </w:trPr>
                    <w:tc>
                      <w:tcPr>
                        <w:tcW w:w="0" w:type="auto"/>
                        <w:gridSpan w:val="2"/>
                        <w:tcMar>
                          <w:top w:w="150" w:type="dxa"/>
                          <w:left w:w="0" w:type="dxa"/>
                          <w:bottom w:w="150" w:type="dxa"/>
                          <w:right w:w="150" w:type="dxa"/>
                        </w:tcMar>
                        <w:vAlign w:val="center"/>
                        <w:hideMark/>
                      </w:tcPr>
                      <w:p w:rsidR="00B00D11" w:rsidRPr="00B00D11" w:rsidRDefault="00B00D11" w:rsidP="00B00D11">
                        <w:pPr>
                          <w:spacing w:before="100" w:beforeAutospacing="1" w:after="100" w:afterAutospacing="1" w:line="240" w:lineRule="auto"/>
                          <w:outlineLvl w:val="0"/>
                          <w:rPr>
                            <w:rFonts w:ascii="Arial" w:eastAsia="Times New Roman" w:hAnsi="Arial" w:cs="Arial"/>
                            <w:b/>
                            <w:bCs/>
                            <w:color w:val="000000"/>
                            <w:kern w:val="36"/>
                            <w:sz w:val="24"/>
                            <w:szCs w:val="24"/>
                          </w:rPr>
                        </w:pPr>
                        <w:r w:rsidRPr="00B00D11">
                          <w:rPr>
                            <w:rFonts w:ascii="Arial" w:eastAsia="Times New Roman" w:hAnsi="Arial" w:cs="Arial"/>
                            <w:b/>
                            <w:bCs/>
                            <w:color w:val="000000"/>
                            <w:kern w:val="36"/>
                            <w:sz w:val="24"/>
                            <w:szCs w:val="24"/>
                          </w:rPr>
                          <w:t>Legal News Update - November 2011</w:t>
                        </w:r>
                      </w:p>
                      <w:p w:rsidR="00B00D11" w:rsidRPr="00B00D11" w:rsidRDefault="00B00D11" w:rsidP="00B00D11">
                        <w:pPr>
                          <w:spacing w:after="0" w:line="240" w:lineRule="auto"/>
                          <w:rPr>
                            <w:rFonts w:ascii="Arial" w:eastAsia="Times New Roman" w:hAnsi="Arial" w:cs="Arial"/>
                            <w:color w:val="000000"/>
                            <w:sz w:val="17"/>
                            <w:szCs w:val="17"/>
                          </w:rPr>
                        </w:pPr>
                        <w:r w:rsidRPr="00B00D11">
                          <w:rPr>
                            <w:rFonts w:ascii="Arial" w:eastAsia="Times New Roman" w:hAnsi="Arial" w:cs="Arial"/>
                            <w:color w:val="990000"/>
                            <w:sz w:val="17"/>
                            <w:szCs w:val="17"/>
                          </w:rPr>
                          <w:t>(2011-11-16)</w:t>
                        </w:r>
                      </w:p>
                    </w:tc>
                  </w:tr>
                  <w:tr w:rsidR="00B00D11" w:rsidRPr="00B00D11">
                    <w:trPr>
                      <w:tblCellSpacing w:w="0" w:type="dxa"/>
                    </w:trPr>
                    <w:tc>
                      <w:tcPr>
                        <w:tcW w:w="0" w:type="auto"/>
                        <w:gridSpan w:val="2"/>
                        <w:tcMar>
                          <w:top w:w="150" w:type="dxa"/>
                          <w:left w:w="0" w:type="dxa"/>
                          <w:bottom w:w="150" w:type="dxa"/>
                          <w:right w:w="150" w:type="dxa"/>
                        </w:tcMar>
                        <w:vAlign w:val="center"/>
                        <w:hideMark/>
                      </w:tcPr>
                      <w:p w:rsidR="00B00D11" w:rsidRPr="00B00D11" w:rsidRDefault="00B00D11" w:rsidP="00B00D11">
                        <w:pPr>
                          <w:spacing w:after="0" w:line="240" w:lineRule="auto"/>
                          <w:rPr>
                            <w:rFonts w:ascii="Arial" w:eastAsia="Times New Roman" w:hAnsi="Arial" w:cs="Arial"/>
                            <w:color w:val="000000"/>
                            <w:sz w:val="17"/>
                            <w:szCs w:val="17"/>
                          </w:rPr>
                        </w:pPr>
                      </w:p>
                      <w:tbl>
                        <w:tblPr>
                          <w:tblpPr w:leftFromText="180" w:rightFromText="180" w:vertAnchor="text"/>
                          <w:tblW w:w="11826" w:type="dxa"/>
                          <w:tblCellMar>
                            <w:left w:w="0" w:type="dxa"/>
                            <w:right w:w="0" w:type="dxa"/>
                          </w:tblCellMar>
                          <w:tblLook w:val="04A0" w:firstRow="1" w:lastRow="0" w:firstColumn="1" w:lastColumn="0" w:noHBand="0" w:noVBand="1"/>
                        </w:tblPr>
                        <w:tblGrid>
                          <w:gridCol w:w="3528"/>
                          <w:gridCol w:w="8298"/>
                        </w:tblGrid>
                        <w:tr w:rsidR="00B00D11" w:rsidRPr="00B00D11">
                          <w:trPr>
                            <w:trHeight w:val="903"/>
                          </w:trPr>
                          <w:tc>
                            <w:tcPr>
                              <w:tcW w:w="11826" w:type="dxa"/>
                              <w:gridSpan w:val="2"/>
                              <w:shd w:val="clear" w:color="auto" w:fill="943634"/>
                              <w:tcMar>
                                <w:top w:w="0" w:type="dxa"/>
                                <w:left w:w="108" w:type="dxa"/>
                                <w:bottom w:w="0" w:type="dxa"/>
                                <w:right w:w="108" w:type="dxa"/>
                              </w:tcMar>
                              <w:vAlign w:val="center"/>
                              <w:hideMark/>
                            </w:tcPr>
                            <w:p w:rsidR="00B00D11" w:rsidRPr="00B00D11" w:rsidRDefault="00B00D11" w:rsidP="00B00D11">
                              <w:pPr>
                                <w:spacing w:before="100" w:beforeAutospacing="1" w:after="100" w:afterAutospacing="1" w:line="190" w:lineRule="atLeast"/>
                                <w:jc w:val="center"/>
                                <w:rPr>
                                  <w:rFonts w:ascii="Times New Roman" w:eastAsia="Times New Roman" w:hAnsi="Times New Roman" w:cs="Times New Roman"/>
                                  <w:color w:val="000000"/>
                                  <w:sz w:val="24"/>
                                  <w:szCs w:val="24"/>
                                </w:rPr>
                              </w:pPr>
                              <w:r w:rsidRPr="00B00D11">
                                <w:rPr>
                                  <w:rFonts w:ascii="Arial" w:eastAsia="Times New Roman" w:hAnsi="Arial" w:cs="Arial"/>
                                  <w:color w:val="FFFFFF"/>
                                  <w:sz w:val="47"/>
                                  <w:szCs w:val="47"/>
                                </w:rPr>
                                <w:t>LEGAL NEWS UPDATE</w:t>
                              </w:r>
                            </w:p>
                          </w:tc>
                        </w:tr>
                        <w:tr w:rsidR="00B00D11" w:rsidRPr="00B00D11">
                          <w:trPr>
                            <w:trHeight w:val="2700"/>
                          </w:trPr>
                          <w:tc>
                            <w:tcPr>
                              <w:tcW w:w="3528" w:type="dxa"/>
                              <w:tcBorders>
                                <w:top w:val="nil"/>
                                <w:left w:val="nil"/>
                                <w:bottom w:val="nil"/>
                                <w:right w:val="dashed" w:sz="8" w:space="0" w:color="auto"/>
                              </w:tcBorders>
                              <w:shd w:val="clear" w:color="auto" w:fill="FFFFFF"/>
                              <w:tcMar>
                                <w:top w:w="0" w:type="dxa"/>
                                <w:left w:w="108" w:type="dxa"/>
                                <w:bottom w:w="0" w:type="dxa"/>
                                <w:right w:w="108" w:type="dxa"/>
                              </w:tcMar>
                              <w:hideMark/>
                            </w:tcPr>
                            <w:p w:rsidR="00B00D11" w:rsidRPr="00B00D11" w:rsidRDefault="00B00D11" w:rsidP="00B00D11">
                              <w:pPr>
                                <w:spacing w:before="100" w:beforeAutospacing="1" w:after="100" w:afterAutospacing="1" w:line="190" w:lineRule="atLeast"/>
                                <w:rPr>
                                  <w:rFonts w:ascii="Times New Roman" w:eastAsia="Times New Roman" w:hAnsi="Times New Roman" w:cs="Times New Roman"/>
                                  <w:color w:val="000000"/>
                                  <w:sz w:val="24"/>
                                  <w:szCs w:val="24"/>
                                </w:rPr>
                              </w:pPr>
                              <w:r w:rsidRPr="00B00D11">
                                <w:rPr>
                                  <w:rFonts w:ascii="Arial" w:eastAsia="Times New Roman" w:hAnsi="Arial" w:cs="Arial"/>
                                  <w:color w:val="000000"/>
                                  <w:sz w:val="19"/>
                                  <w:szCs w:val="19"/>
                                </w:rPr>
                                <w:t> </w:t>
                              </w:r>
                            </w:p>
                            <w:p w:rsidR="00B00D11" w:rsidRPr="00B00D11" w:rsidRDefault="00B00D11" w:rsidP="00B00D11">
                              <w:pPr>
                                <w:spacing w:before="100" w:beforeAutospacing="1" w:after="100" w:afterAutospacing="1" w:line="190" w:lineRule="atLeast"/>
                                <w:rPr>
                                  <w:rFonts w:ascii="Times New Roman" w:eastAsia="Times New Roman" w:hAnsi="Times New Roman" w:cs="Times New Roman"/>
                                  <w:color w:val="000000"/>
                                  <w:sz w:val="24"/>
                                  <w:szCs w:val="24"/>
                                </w:rPr>
                              </w:pPr>
                              <w:r w:rsidRPr="00B00D11">
                                <w:rPr>
                                  <w:rFonts w:ascii="Arial" w:eastAsia="Times New Roman" w:hAnsi="Arial" w:cs="Arial"/>
                                  <w:b/>
                                  <w:bCs/>
                                  <w:color w:val="000000"/>
                                  <w:sz w:val="19"/>
                                  <w:szCs w:val="19"/>
                                </w:rPr>
                                <w:t>BROSS &amp; PARTNERS LLP</w:t>
                              </w:r>
                            </w:p>
                            <w:p w:rsidR="00B00D11" w:rsidRPr="00B00D11" w:rsidRDefault="00B00D11" w:rsidP="00B00D11">
                              <w:pPr>
                                <w:spacing w:before="100" w:beforeAutospacing="1" w:after="100" w:afterAutospacing="1" w:line="190" w:lineRule="atLeast"/>
                                <w:rPr>
                                  <w:rFonts w:ascii="Times New Roman" w:eastAsia="Times New Roman" w:hAnsi="Times New Roman" w:cs="Times New Roman"/>
                                  <w:color w:val="000000"/>
                                  <w:sz w:val="24"/>
                                  <w:szCs w:val="24"/>
                                </w:rPr>
                              </w:pPr>
                              <w:hyperlink r:id="rId4" w:history="1">
                                <w:r w:rsidRPr="00B00D11">
                                  <w:rPr>
                                    <w:rFonts w:ascii="Arial" w:eastAsia="Times New Roman" w:hAnsi="Arial" w:cs="Arial"/>
                                    <w:b/>
                                    <w:bCs/>
                                    <w:sz w:val="19"/>
                                    <w:szCs w:val="19"/>
                                  </w:rPr>
                                  <w:t>www.bross.vn</w:t>
                                </w:r>
                              </w:hyperlink>
                              <w:r w:rsidRPr="00B00D11">
                                <w:rPr>
                                  <w:rFonts w:ascii="Arial" w:eastAsia="Times New Roman" w:hAnsi="Arial" w:cs="Arial"/>
                                  <w:b/>
                                  <w:bCs/>
                                  <w:color w:val="000000"/>
                                  <w:sz w:val="19"/>
                                  <w:szCs w:val="19"/>
                                  <w:u w:val="single"/>
                                </w:rPr>
                                <w:t>  </w:t>
                              </w:r>
                            </w:p>
                            <w:p w:rsidR="00B00D11" w:rsidRPr="00B00D11" w:rsidRDefault="00B00D11" w:rsidP="00B00D11">
                              <w:pPr>
                                <w:spacing w:before="100" w:beforeAutospacing="1" w:after="100" w:afterAutospacing="1" w:line="190" w:lineRule="atLeast"/>
                                <w:rPr>
                                  <w:rFonts w:ascii="Times New Roman" w:eastAsia="Times New Roman" w:hAnsi="Times New Roman" w:cs="Times New Roman"/>
                                  <w:color w:val="000000"/>
                                  <w:sz w:val="24"/>
                                  <w:szCs w:val="24"/>
                                </w:rPr>
                              </w:pPr>
                              <w:r w:rsidRPr="00B00D11">
                                <w:rPr>
                                  <w:rFonts w:ascii="Arial" w:eastAsia="Times New Roman" w:hAnsi="Arial" w:cs="Arial"/>
                                  <w:color w:val="000000"/>
                                  <w:sz w:val="19"/>
                                  <w:szCs w:val="19"/>
                                </w:rPr>
                                <w:t> </w:t>
                              </w:r>
                            </w:p>
                            <w:p w:rsidR="00B00D11" w:rsidRPr="00B00D11" w:rsidRDefault="00B00D11" w:rsidP="00B00D11">
                              <w:pPr>
                                <w:spacing w:before="100" w:beforeAutospacing="1" w:after="100" w:afterAutospacing="1" w:line="190" w:lineRule="atLeast"/>
                                <w:rPr>
                                  <w:rFonts w:ascii="Times New Roman" w:eastAsia="Times New Roman" w:hAnsi="Times New Roman" w:cs="Times New Roman"/>
                                  <w:color w:val="000000"/>
                                  <w:sz w:val="24"/>
                                  <w:szCs w:val="24"/>
                                </w:rPr>
                              </w:pPr>
                              <w:r w:rsidRPr="00B00D11">
                                <w:rPr>
                                  <w:rFonts w:ascii="Arial" w:eastAsia="Times New Roman" w:hAnsi="Arial" w:cs="Arial"/>
                                  <w:b/>
                                  <w:bCs/>
                                  <w:color w:val="000000"/>
                                  <w:sz w:val="19"/>
                                  <w:szCs w:val="19"/>
                                  <w:u w:val="single"/>
                                </w:rPr>
                                <w:t>Practice areas:</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Investment</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Corporate</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Banking &amp; Finance</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Securities &amp; Capital Market</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Private Equity</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Contracts</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Real Estate &amp; Construction</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Merger &amp; Acquisition</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xml:space="preserve">- </w:t>
                              </w:r>
                              <w:proofErr w:type="spellStart"/>
                              <w:r w:rsidRPr="00B00D11">
                                <w:rPr>
                                  <w:rFonts w:ascii="Arial" w:eastAsia="Times New Roman" w:hAnsi="Arial" w:cs="Arial"/>
                                  <w:i/>
                                  <w:iCs/>
                                  <w:color w:val="000000"/>
                                  <w:sz w:val="17"/>
                                  <w:szCs w:val="17"/>
                                </w:rPr>
                                <w:t>Labour</w:t>
                              </w:r>
                              <w:proofErr w:type="spellEnd"/>
                              <w:r w:rsidRPr="00B00D11">
                                <w:rPr>
                                  <w:rFonts w:ascii="Arial" w:eastAsia="Times New Roman" w:hAnsi="Arial" w:cs="Arial"/>
                                  <w:i/>
                                  <w:iCs/>
                                  <w:color w:val="000000"/>
                                  <w:sz w:val="17"/>
                                  <w:szCs w:val="17"/>
                                </w:rPr>
                                <w:t xml:space="preserve"> &amp; Employment</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Taxation</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Debt collection</w:t>
                              </w:r>
                            </w:p>
                            <w:p w:rsidR="00B00D11" w:rsidRPr="00B00D11" w:rsidRDefault="00B00D11" w:rsidP="00B00D11">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Litigation &amp; Dispute resolution</w:t>
                              </w:r>
                            </w:p>
                            <w:p w:rsidR="00B00D11" w:rsidRPr="00B00D11" w:rsidRDefault="00B00D11" w:rsidP="00B00D11">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Criminal &amp; Civil law</w:t>
                              </w:r>
                            </w:p>
                            <w:p w:rsidR="00B00D11" w:rsidRPr="00B00D11" w:rsidRDefault="00B00D11" w:rsidP="00B00D11">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Intellectual property &amp; Copyright</w:t>
                              </w:r>
                            </w:p>
                            <w:p w:rsidR="00B00D11" w:rsidRPr="00B00D11" w:rsidRDefault="00B00D11" w:rsidP="00B00D11">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 Franchising &amp; Technology transfer</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lastRenderedPageBreak/>
                                <w:t>- Market survey</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9"/>
                                  <w:szCs w:val="19"/>
                                </w:rPr>
                                <w:t> </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b/>
                                  <w:bCs/>
                                  <w:color w:val="000000"/>
                                  <w:sz w:val="19"/>
                                  <w:szCs w:val="19"/>
                                  <w:u w:val="single"/>
                                </w:rPr>
                                <w:t>Contact us:</w:t>
                              </w:r>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Hanoi: </w:t>
                              </w:r>
                              <w:hyperlink r:id="rId5" w:history="1">
                                <w:r w:rsidRPr="00B00D11">
                                  <w:rPr>
                                    <w:rFonts w:ascii="Arial" w:eastAsia="Times New Roman" w:hAnsi="Arial" w:cs="Arial"/>
                                    <w:i/>
                                    <w:iCs/>
                                    <w:sz w:val="17"/>
                                    <w:szCs w:val="17"/>
                                  </w:rPr>
                                  <w:t>contact@bross.vn</w:t>
                                </w:r>
                              </w:hyperlink>
                            </w:p>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7"/>
                                  <w:szCs w:val="17"/>
                                </w:rPr>
                                <w:t>HCMC: </w:t>
                              </w:r>
                              <w:hyperlink r:id="rId6" w:history="1">
                                <w:r w:rsidRPr="00B00D11">
                                  <w:rPr>
                                    <w:rFonts w:ascii="Arial" w:eastAsia="Times New Roman" w:hAnsi="Arial" w:cs="Arial"/>
                                    <w:i/>
                                    <w:iCs/>
                                    <w:sz w:val="17"/>
                                    <w:szCs w:val="17"/>
                                  </w:rPr>
                                  <w:t>saigon@bross.vn</w:t>
                                </w:r>
                              </w:hyperlink>
                            </w:p>
                            <w:p w:rsidR="00B00D11" w:rsidRPr="00B00D11" w:rsidRDefault="00B00D11" w:rsidP="00B00D11">
                              <w:pPr>
                                <w:spacing w:before="100" w:beforeAutospacing="1" w:after="100" w:afterAutospacing="1" w:line="190" w:lineRule="atLeast"/>
                                <w:ind w:left="-94" w:firstLine="94"/>
                                <w:rPr>
                                  <w:rFonts w:ascii="Times New Roman" w:eastAsia="Times New Roman" w:hAnsi="Times New Roman" w:cs="Times New Roman"/>
                                  <w:color w:val="000000"/>
                                  <w:sz w:val="24"/>
                                  <w:szCs w:val="24"/>
                                </w:rPr>
                              </w:pPr>
                              <w:r w:rsidRPr="00B00D11">
                                <w:rPr>
                                  <w:rFonts w:ascii="Arial" w:eastAsia="Times New Roman" w:hAnsi="Arial" w:cs="Arial"/>
                                  <w:color w:val="000000"/>
                                  <w:sz w:val="19"/>
                                  <w:szCs w:val="19"/>
                                </w:rPr>
                                <w:t> </w:t>
                              </w:r>
                            </w:p>
                          </w:tc>
                          <w:tc>
                            <w:tcPr>
                              <w:tcW w:w="8298" w:type="dxa"/>
                              <w:tcBorders>
                                <w:top w:val="nil"/>
                                <w:left w:val="nil"/>
                                <w:bottom w:val="nil"/>
                                <w:right w:val="nil"/>
                              </w:tcBorders>
                              <w:tcMar>
                                <w:top w:w="0" w:type="dxa"/>
                                <w:left w:w="108" w:type="dxa"/>
                                <w:bottom w:w="0" w:type="dxa"/>
                                <w:right w:w="108" w:type="dxa"/>
                              </w:tcMar>
                              <w:hideMark/>
                            </w:tcPr>
                            <w:p w:rsidR="00B00D11" w:rsidRPr="00B00D11" w:rsidRDefault="00B00D11" w:rsidP="00B00D11">
                              <w:pPr>
                                <w:spacing w:before="100" w:beforeAutospacing="1" w:after="100" w:afterAutospacing="1" w:line="320" w:lineRule="atLeast"/>
                                <w:jc w:val="both"/>
                                <w:rPr>
                                  <w:rFonts w:ascii="Times New Roman" w:eastAsia="Times New Roman" w:hAnsi="Times New Roman" w:cs="Times New Roman"/>
                                  <w:color w:val="000000"/>
                                  <w:sz w:val="24"/>
                                  <w:szCs w:val="24"/>
                                </w:rPr>
                              </w:pPr>
                              <w:r w:rsidRPr="00B00D11">
                                <w:rPr>
                                  <w:rFonts w:ascii="Arial" w:eastAsia="Times New Roman" w:hAnsi="Arial" w:cs="Arial"/>
                                  <w:i/>
                                  <w:iCs/>
                                  <w:color w:val="000000"/>
                                  <w:sz w:val="19"/>
                                  <w:szCs w:val="19"/>
                                </w:rPr>
                                <w:lastRenderedPageBreak/>
                                <w:t>16</w:t>
                              </w:r>
                              <w:r w:rsidRPr="00B00D11">
                                <w:rPr>
                                  <w:rFonts w:ascii="Arial" w:eastAsia="Times New Roman" w:hAnsi="Arial" w:cs="Arial"/>
                                  <w:i/>
                                  <w:iCs/>
                                  <w:color w:val="000000"/>
                                  <w:sz w:val="19"/>
                                  <w:szCs w:val="19"/>
                                  <w:vertAlign w:val="superscript"/>
                                </w:rPr>
                                <w:t>th</w:t>
                              </w:r>
                              <w:r w:rsidRPr="00B00D11">
                                <w:rPr>
                                  <w:rFonts w:ascii="Arial" w:eastAsia="Times New Roman" w:hAnsi="Arial" w:cs="Arial"/>
                                  <w:i/>
                                  <w:iCs/>
                                  <w:color w:val="000000"/>
                                  <w:sz w:val="19"/>
                                  <w:szCs w:val="19"/>
                                </w:rPr>
                                <w:t> November 2011</w:t>
                              </w:r>
                            </w:p>
                            <w:p w:rsidR="00B00D11" w:rsidRPr="00B00D11" w:rsidRDefault="00B00D11" w:rsidP="00B00D11">
                              <w:pPr>
                                <w:spacing w:before="100" w:beforeAutospacing="1" w:after="0" w:line="320"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 </w:t>
                              </w:r>
                            </w:p>
                            <w:p w:rsidR="00B00D11" w:rsidRPr="00B00D11" w:rsidRDefault="00B00D11" w:rsidP="00B00D11">
                              <w:pPr>
                                <w:spacing w:before="100" w:beforeAutospacing="1" w:after="0" w:line="320" w:lineRule="atLeast"/>
                                <w:jc w:val="both"/>
                                <w:rPr>
                                  <w:rFonts w:ascii="Arial" w:eastAsia="Times New Roman" w:hAnsi="Arial" w:cs="Arial"/>
                                  <w:color w:val="000000"/>
                                  <w:sz w:val="17"/>
                                  <w:szCs w:val="17"/>
                                </w:rPr>
                              </w:pPr>
                              <w:r w:rsidRPr="00B00D11">
                                <w:rPr>
                                  <w:rFonts w:ascii="Arial" w:eastAsia="Times New Roman" w:hAnsi="Arial" w:cs="Arial"/>
                                  <w:b/>
                                  <w:bCs/>
                                  <w:color w:val="000000"/>
                                  <w:sz w:val="19"/>
                                  <w:szCs w:val="19"/>
                                </w:rPr>
                                <w:t>NOT TO GRANT INVESTMENT CERTIFICATES TO PROJECTS WHICH WASTEFULLY USE ENERGY</w:t>
                              </w:r>
                            </w:p>
                            <w:p w:rsidR="00B00D11" w:rsidRPr="00B00D11" w:rsidRDefault="00B00D11" w:rsidP="00B00D11">
                              <w:pPr>
                                <w:spacing w:before="120" w:after="0" w:line="248" w:lineRule="atLeast"/>
                                <w:jc w:val="both"/>
                                <w:rPr>
                                  <w:rFonts w:ascii="Arial" w:eastAsia="Times New Roman" w:hAnsi="Arial" w:cs="Arial"/>
                                  <w:color w:val="000000"/>
                                  <w:sz w:val="17"/>
                                  <w:szCs w:val="17"/>
                                </w:rPr>
                              </w:pPr>
                              <w:r w:rsidRPr="00B00D11">
                                <w:rPr>
                                  <w:rFonts w:ascii="Arial" w:eastAsia="Times New Roman" w:hAnsi="Arial" w:cs="Arial"/>
                                  <w:i/>
                                  <w:iCs/>
                                  <w:color w:val="000000"/>
                                  <w:sz w:val="19"/>
                                  <w:szCs w:val="19"/>
                                </w:rPr>
                                <w:t xml:space="preserve">The implementation of the Resolution No. 13/NQ-CP on orientations and solutions for attracting and managing foreign direct investment funds still remain delays in addressing problems in the attraction and management of foreign direct investment over the past time. The grant of investment certificates unconformable with planning was seen in some localities, especially for golf course, forestation, </w:t>
                              </w:r>
                              <w:proofErr w:type="gramStart"/>
                              <w:r w:rsidRPr="00B00D11">
                                <w:rPr>
                                  <w:rFonts w:ascii="Arial" w:eastAsia="Times New Roman" w:hAnsi="Arial" w:cs="Arial"/>
                                  <w:i/>
                                  <w:iCs/>
                                  <w:color w:val="000000"/>
                                  <w:sz w:val="19"/>
                                  <w:szCs w:val="19"/>
                                </w:rPr>
                                <w:t>steel</w:t>
                              </w:r>
                              <w:proofErr w:type="gramEnd"/>
                              <w:r w:rsidRPr="00B00D11">
                                <w:rPr>
                                  <w:rFonts w:ascii="Arial" w:eastAsia="Times New Roman" w:hAnsi="Arial" w:cs="Arial"/>
                                  <w:i/>
                                  <w:iCs/>
                                  <w:color w:val="000000"/>
                                  <w:sz w:val="19"/>
                                  <w:szCs w:val="19"/>
                                </w:rPr>
                                <w:t xml:space="preserve"> and mining projects; Many projects had not been thoroughly verified and considered in terms of technical, technological, environmental and labor criteria…</w:t>
                              </w:r>
                            </w:p>
                            <w:p w:rsidR="00B00D11" w:rsidRPr="00B00D11" w:rsidRDefault="00B00D11" w:rsidP="00B00D11">
                              <w:pPr>
                                <w:spacing w:before="120"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Accordingly, in order to enhance and raise the effectiveness of the implementation of the Resolution No. 13/NQ-CP in the next time, the Prime Minister issued the Directive No. 1617/CT-</w:t>
                              </w:r>
                              <w:proofErr w:type="spellStart"/>
                              <w:r w:rsidRPr="00B00D11">
                                <w:rPr>
                                  <w:rFonts w:ascii="Arial" w:eastAsia="Times New Roman" w:hAnsi="Arial" w:cs="Arial"/>
                                  <w:color w:val="000000"/>
                                  <w:sz w:val="19"/>
                                  <w:szCs w:val="19"/>
                                </w:rPr>
                                <w:t>TTg</w:t>
                              </w:r>
                              <w:proofErr w:type="spellEnd"/>
                              <w:r w:rsidRPr="00B00D11">
                                <w:rPr>
                                  <w:rFonts w:ascii="Arial" w:eastAsia="Times New Roman" w:hAnsi="Arial" w:cs="Arial"/>
                                  <w:color w:val="000000"/>
                                  <w:sz w:val="19"/>
                                  <w:szCs w:val="19"/>
                                </w:rPr>
                                <w:t xml:space="preserve"> of September 09, 2011. In this Directive, the Prime Minister instructs ministers, heads of ministerial-level agencies and government-attached agencies and chairpersons of provincial-level People’s Committees to thoroughly grasp and concentrate on the following tasks such as:</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To improve the quality and effectiveness of foreign direct investment in line with Viet Nam’s strategy for socio-economic development in the period 2011-2020 toward encouraging development of the foreign-invested sector in conformity with planning; prioritizing projects with modern and environmentally friendly technology and efficiently using natural, mineral and land resources; and increasing partnership with domestic enterprises; focally attracting investment in support industries.</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At the same time, to restrict investment projects in the non-manufacture sector and those increasing trade deficit, consuming a lot of energy or exploiting natural resources without processing. Not to grant investment certificates to projects which wastefully use energy or natural resources or use outdated or polluting technologies.</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To accomplish these above tasks, the Prime Minister asks the Ministry of Planning and Investment to assume the prime responsibility for, and coordinate with concerned ministries and sectors and local People’s Committees in, completing in the 2nd quarter of 2012 a scheme on orientations for improvement of effectiveness of the attraction, use and management of foreign direct investment during 2011-2020, proposing specific orientations for investment incentive policies based on sectors and localities of investment; Reviewing, summarizing and announcing specific conditions for conditional investment projects completing in the 3rd quarter of 2012.</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lastRenderedPageBreak/>
                                <w:t xml:space="preserve">The Ministry of Industry and Trade has responsibility to assume the prime responsibility for, and coordinate with concerned ministries and sectors in </w:t>
                              </w:r>
                              <w:proofErr w:type="spellStart"/>
                              <w:r w:rsidRPr="00B00D11">
                                <w:rPr>
                                  <w:rFonts w:ascii="Arial" w:eastAsia="Times New Roman" w:hAnsi="Arial" w:cs="Arial"/>
                                  <w:color w:val="000000"/>
                                  <w:sz w:val="19"/>
                                  <w:szCs w:val="19"/>
                                </w:rPr>
                                <w:t>buiding</w:t>
                              </w:r>
                              <w:proofErr w:type="spellEnd"/>
                              <w:r w:rsidRPr="00B00D11">
                                <w:rPr>
                                  <w:rFonts w:ascii="Arial" w:eastAsia="Times New Roman" w:hAnsi="Arial" w:cs="Arial"/>
                                  <w:color w:val="000000"/>
                                  <w:sz w:val="19"/>
                                  <w:szCs w:val="19"/>
                                </w:rPr>
                                <w:t xml:space="preserve"> a scheme on improvement of investment quality and state management effectiveness and orientations for foreign direct investment in support industries, electricity and trade in the period of 2011-2020 and a scheme on increased state management of the grant of certificates of origin, completing in May 2012.</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 </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b/>
                                  <w:bCs/>
                                  <w:color w:val="000000"/>
                                  <w:sz w:val="19"/>
                                  <w:szCs w:val="19"/>
                                </w:rPr>
                                <w:t>REGULATIONS ON THE PURCHASE OF CORPORATE BONDS BY CREDIT INSTITUTIONS</w:t>
                              </w:r>
                            </w:p>
                            <w:p w:rsidR="00B00D11" w:rsidRPr="00B00D11" w:rsidRDefault="00B00D11" w:rsidP="00B00D11">
                              <w:pPr>
                                <w:spacing w:before="120" w:after="0" w:line="248" w:lineRule="atLeast"/>
                                <w:jc w:val="both"/>
                                <w:rPr>
                                  <w:rFonts w:ascii="Arial" w:eastAsia="Times New Roman" w:hAnsi="Arial" w:cs="Arial"/>
                                  <w:color w:val="000000"/>
                                  <w:sz w:val="17"/>
                                  <w:szCs w:val="17"/>
                                </w:rPr>
                              </w:pPr>
                              <w:r w:rsidRPr="00B00D11">
                                <w:rPr>
                                  <w:rFonts w:ascii="Arial" w:eastAsia="Times New Roman" w:hAnsi="Arial" w:cs="Arial"/>
                                  <w:i/>
                                  <w:iCs/>
                                  <w:color w:val="000000"/>
                                  <w:sz w:val="19"/>
                                  <w:szCs w:val="19"/>
                                </w:rPr>
                                <w:t>The State Bank of Viet Nam issued the Circular No. 28/2011/TT-NHNN dated September 01, 2011 providing for credit institutions’ and foreign bank branches’ purchase of corporate bonds issued for the first time sale to purchasers on the primary market in the territory of the Socialist Republic of Viet Nam, including the purchase of quantities of corporate bonds not yet sold up to purchasers according to corporate bond issuance underwriting commitments.</w:t>
                              </w:r>
                            </w:p>
                            <w:p w:rsidR="00B00D11" w:rsidRPr="00B00D11" w:rsidRDefault="00B00D11" w:rsidP="00B00D11">
                              <w:pPr>
                                <w:spacing w:before="120"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Corporate bond is a type of debt securities issued by an enterprise, which certify the obligation of enterprise to pay both bond principal and interest towards bond owners. Convertible corporate bond is a type of bond which may be converted into common stocks of the bond issuer under law and conditions already specified in the bond issuer’s bond issuance plan.</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Two types of corporate bonds which can be purchased by credit institutions and foreign bank branches are bonds issued under regulations on issuance of corporate bonds and bonds issued under regulations on public offering of securities. Foreign bank branches are not allowed to purchase convertible bonds.</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Credit institutions and foreign bank branches may purchase corporate bonds when fully meeting the following conditions: they are commercial banks, financial companies or foreign bank branches established and operating under the Law on Credit Institutions; Their State Bank of Vietnam-granted establishment and operation licenses have a content on purchase of corporate bonds; They comply with safety ratios in operations of credit institutions and foreign bank branches under regulations of the State Bank of Viet Nam.</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The total investment in corporate bonds shall be included in the total outstanding credit debt for a client or for a client and related persons under Article 128 of the Law on Credit Institutions and relevant regulations of the State Bank of Viet Nam. Credit institutions and foreign bank branches shall specify corporate bond purchase limits.</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This Circular takes effect on October 20, 2011. Pursuant to this Circular and relevant laws, credit institutions and foreign bank branches shall issue regulations on purchase of corporate bonds and promptly send these regulations to the Banking Inspection and Supervision Agency for inspection and supervision of their purchase of corporate bonds.</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 </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b/>
                                  <w:bCs/>
                                  <w:color w:val="000000"/>
                                  <w:sz w:val="19"/>
                                  <w:szCs w:val="19"/>
                                </w:rPr>
                                <w:t>GUIDELINES ON THE FINANCIAL MANAGEMENT OF THE PROGRAM TO SUPPORT INTELLECTUAL ASSET DEVELOPMENT</w:t>
                              </w:r>
                            </w:p>
                            <w:p w:rsidR="00B00D11" w:rsidRPr="00B00D11" w:rsidRDefault="00B00D11" w:rsidP="00B00D11">
                              <w:pPr>
                                <w:spacing w:before="120" w:after="0" w:line="248" w:lineRule="atLeast"/>
                                <w:jc w:val="both"/>
                                <w:rPr>
                                  <w:rFonts w:ascii="Arial" w:eastAsia="Times New Roman" w:hAnsi="Arial" w:cs="Arial"/>
                                  <w:color w:val="000000"/>
                                  <w:sz w:val="17"/>
                                  <w:szCs w:val="17"/>
                                </w:rPr>
                              </w:pPr>
                              <w:r w:rsidRPr="00B00D11">
                                <w:rPr>
                                  <w:rFonts w:ascii="Arial" w:eastAsia="Times New Roman" w:hAnsi="Arial" w:cs="Arial"/>
                                  <w:i/>
                                  <w:iCs/>
                                  <w:color w:val="000000"/>
                                  <w:sz w:val="19"/>
                                  <w:szCs w:val="19"/>
                                </w:rPr>
                                <w:lastRenderedPageBreak/>
                                <w:t>On August 02, 2011, the Ministry of Finance and the Ministry of Science and Technology jointly issued the Joint Circular No. 112/2011/TTLT-BTC-BKHCN guiding the financial management of the Program to support intellectual asset development in the period of 2011-2015.</w:t>
                              </w:r>
                            </w:p>
                            <w:p w:rsidR="00B00D11" w:rsidRPr="00B00D11" w:rsidRDefault="00B00D11" w:rsidP="00B00D11">
                              <w:pPr>
                                <w:spacing w:before="120"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The state budget shall allocate 100% of the fund for expenses for general activities of the program; specific items in agriculture; urgent tasks under the Program which need to be immediately performed to meet practical implementation requirements. The performance of these tasks is necessary to turn out products and to achieve results which can be widely disseminated or propagated or serve as a basis for the performance of other activities of the Program.</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Besides, the state budget shall allocate between 50-70% of the total fund for expenses for consultancy on the establishment and assistance for operations of intellectual asset development assistance organizations; Expenses for establishment, exploitation, protection and development of domestic and overseas intellectual assets; Expenses for establishment of intellectual property rights, organization of intellectual property rights protection; Expenses for the exploitation of scientific, technological and intellectual property information for research, development, production and business activities…</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For projects authorized by the central government to local administrations for management, the central budget provides annual budgetary supports for local budgets on the principle that the support level depends on sectors in which these projects are implemented, project implementation units and percentage of this state budget-allocated support.</w:t>
                              </w:r>
                            </w:p>
                            <w:p w:rsidR="00B00D11" w:rsidRPr="00B00D11" w:rsidRDefault="00B00D11" w:rsidP="00B00D11">
                              <w:pPr>
                                <w:spacing w:before="100" w:beforeAutospacing="1" w:after="0" w:line="248" w:lineRule="atLeast"/>
                                <w:jc w:val="both"/>
                                <w:rPr>
                                  <w:rFonts w:ascii="Arial" w:eastAsia="Times New Roman" w:hAnsi="Arial" w:cs="Arial"/>
                                  <w:color w:val="000000"/>
                                  <w:sz w:val="17"/>
                                  <w:szCs w:val="17"/>
                                </w:rPr>
                              </w:pPr>
                              <w:r w:rsidRPr="00B00D11">
                                <w:rPr>
                                  <w:rFonts w:ascii="Arial" w:eastAsia="Times New Roman" w:hAnsi="Arial" w:cs="Arial"/>
                                  <w:color w:val="000000"/>
                                  <w:sz w:val="19"/>
                                  <w:szCs w:val="19"/>
                                </w:rPr>
                                <w:t xml:space="preserve">Responsibility remuneration for the head of the Steering Committee is VND 500,000/person/month, for members of the Steering Committee is VND 400,000/member/month, for the head of the Secretariat and the chief of the office of the Program is VND 400,000/month; and for members of the Secretariat and Deputy Chiefs of </w:t>
                              </w:r>
                              <w:proofErr w:type="spellStart"/>
                              <w:r w:rsidRPr="00B00D11">
                                <w:rPr>
                                  <w:rFonts w:ascii="Arial" w:eastAsia="Times New Roman" w:hAnsi="Arial" w:cs="Arial"/>
                                  <w:color w:val="000000"/>
                                  <w:sz w:val="19"/>
                                  <w:szCs w:val="19"/>
                                </w:rPr>
                                <w:t>of</w:t>
                              </w:r>
                              <w:proofErr w:type="spellEnd"/>
                              <w:r w:rsidRPr="00B00D11">
                                <w:rPr>
                                  <w:rFonts w:ascii="Arial" w:eastAsia="Times New Roman" w:hAnsi="Arial" w:cs="Arial"/>
                                  <w:color w:val="000000"/>
                                  <w:sz w:val="19"/>
                                  <w:szCs w:val="19"/>
                                </w:rPr>
                                <w:t xml:space="preserve"> the office of the Program is 350,000/person/month. Local officials performing equivalent tasks enjoy remuneration levels equal to 70% of the above levels.</w:t>
                              </w:r>
                            </w:p>
                            <w:p w:rsidR="00B00D11" w:rsidRPr="00B00D11" w:rsidRDefault="00B00D11" w:rsidP="00B00D11">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B00D11">
                                <w:rPr>
                                  <w:rFonts w:ascii="Arial" w:eastAsia="Times New Roman" w:hAnsi="Arial" w:cs="Arial"/>
                                  <w:color w:val="000000"/>
                                  <w:sz w:val="19"/>
                                  <w:szCs w:val="19"/>
                                </w:rPr>
                                <w:t>This Circular takes effect on September 18, 2011.</w:t>
                              </w:r>
                            </w:p>
                          </w:tc>
                        </w:tr>
                        <w:tr w:rsidR="00B00D11" w:rsidRPr="00B00D11">
                          <w:trPr>
                            <w:trHeight w:val="710"/>
                          </w:trPr>
                          <w:tc>
                            <w:tcPr>
                              <w:tcW w:w="11826" w:type="dxa"/>
                              <w:gridSpan w:val="2"/>
                              <w:shd w:val="clear" w:color="auto" w:fill="FFFFFF"/>
                              <w:tcMar>
                                <w:top w:w="0" w:type="dxa"/>
                                <w:left w:w="108" w:type="dxa"/>
                                <w:bottom w:w="0" w:type="dxa"/>
                                <w:right w:w="108" w:type="dxa"/>
                              </w:tcMar>
                              <w:hideMark/>
                            </w:tcPr>
                            <w:p w:rsidR="00B00D11" w:rsidRPr="00B00D11" w:rsidRDefault="00B00D11" w:rsidP="00B00D11">
                              <w:pPr>
                                <w:spacing w:before="100" w:beforeAutospacing="1" w:after="100" w:afterAutospacing="1" w:line="248" w:lineRule="atLeast"/>
                                <w:rPr>
                                  <w:rFonts w:ascii="Times New Roman" w:eastAsia="Times New Roman" w:hAnsi="Times New Roman" w:cs="Times New Roman"/>
                                  <w:color w:val="000000"/>
                                  <w:sz w:val="24"/>
                                  <w:szCs w:val="24"/>
                                </w:rPr>
                              </w:pPr>
                              <w:r w:rsidRPr="00B00D11">
                                <w:rPr>
                                  <w:rFonts w:ascii="Arial" w:eastAsia="Times New Roman" w:hAnsi="Arial" w:cs="Arial"/>
                                  <w:color w:val="000000"/>
                                  <w:sz w:val="19"/>
                                  <w:szCs w:val="19"/>
                                </w:rPr>
                                <w:lastRenderedPageBreak/>
                                <w:t> </w:t>
                              </w:r>
                            </w:p>
                          </w:tc>
                        </w:tr>
                      </w:tbl>
                      <w:p w:rsidR="00B00D11" w:rsidRPr="00B00D11" w:rsidRDefault="00B00D11" w:rsidP="00B00D11">
                        <w:pPr>
                          <w:spacing w:after="0" w:line="240" w:lineRule="auto"/>
                          <w:rPr>
                            <w:rFonts w:ascii="Arial" w:eastAsia="Times New Roman" w:hAnsi="Arial" w:cs="Arial"/>
                            <w:color w:val="000000"/>
                            <w:sz w:val="17"/>
                            <w:szCs w:val="17"/>
                          </w:rPr>
                        </w:pPr>
                      </w:p>
                    </w:tc>
                  </w:tr>
                  <w:tr w:rsidR="00B00D11" w:rsidRPr="00B00D11">
                    <w:trPr>
                      <w:tblCellSpacing w:w="0" w:type="dxa"/>
                    </w:trPr>
                    <w:tc>
                      <w:tcPr>
                        <w:tcW w:w="0" w:type="auto"/>
                        <w:tcMar>
                          <w:top w:w="0" w:type="dxa"/>
                          <w:left w:w="150" w:type="dxa"/>
                          <w:bottom w:w="0" w:type="dxa"/>
                          <w:right w:w="150"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260"/>
                          <w:gridCol w:w="691"/>
                          <w:gridCol w:w="510"/>
                          <w:gridCol w:w="455"/>
                          <w:gridCol w:w="540"/>
                        </w:tblGrid>
                        <w:tr w:rsidR="00B00D11" w:rsidRPr="00B00D11">
                          <w:trPr>
                            <w:tblCellSpacing w:w="0" w:type="dxa"/>
                          </w:trPr>
                          <w:tc>
                            <w:tcPr>
                              <w:tcW w:w="5000" w:type="pct"/>
                              <w:vAlign w:val="center"/>
                              <w:hideMark/>
                            </w:tcPr>
                            <w:p w:rsidR="00B00D11" w:rsidRPr="00B00D11" w:rsidRDefault="00B00D11" w:rsidP="00B00D11">
                              <w:pPr>
                                <w:spacing w:after="0" w:line="240" w:lineRule="auto"/>
                                <w:jc w:val="right"/>
                                <w:rPr>
                                  <w:rFonts w:ascii="Arial" w:eastAsia="Times New Roman" w:hAnsi="Arial" w:cs="Arial"/>
                                  <w:color w:val="000000"/>
                                  <w:sz w:val="17"/>
                                  <w:szCs w:val="17"/>
                                </w:rPr>
                              </w:pPr>
                              <w:r w:rsidRPr="00B00D11">
                                <w:rPr>
                                  <w:rFonts w:ascii="Arial" w:eastAsia="Times New Roman" w:hAnsi="Arial" w:cs="Arial"/>
                                  <w:noProof/>
                                  <w:color w:val="000099"/>
                                  <w:sz w:val="17"/>
                                  <w:szCs w:val="17"/>
                                </w:rPr>
                                <w:lastRenderedPageBreak/>
                                <w:drawing>
                                  <wp:inline distT="0" distB="0" distL="0" distR="0">
                                    <wp:extent cx="1190625" cy="152400"/>
                                    <wp:effectExtent l="0" t="0" r="9525" b="0"/>
                                    <wp:docPr id="3" name="Picture 3" descr="Bookmark and 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nd Sha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p>
                          </w:tc>
                          <w:tc>
                            <w:tcPr>
                              <w:tcW w:w="0" w:type="auto"/>
                              <w:noWrap/>
                              <w:tcMar>
                                <w:top w:w="30" w:type="dxa"/>
                                <w:left w:w="30" w:type="dxa"/>
                                <w:bottom w:w="30" w:type="dxa"/>
                                <w:right w:w="75" w:type="dxa"/>
                              </w:tcMar>
                              <w:vAlign w:val="center"/>
                              <w:hideMark/>
                            </w:tcPr>
                            <w:p w:rsidR="00B00D11" w:rsidRPr="00B00D11" w:rsidRDefault="00B00D11" w:rsidP="00B00D11">
                              <w:pPr>
                                <w:spacing w:after="0" w:line="240" w:lineRule="auto"/>
                                <w:rPr>
                                  <w:rFonts w:ascii="Arial" w:eastAsia="Times New Roman" w:hAnsi="Arial" w:cs="Arial"/>
                                  <w:color w:val="000000"/>
                                  <w:sz w:val="17"/>
                                  <w:szCs w:val="17"/>
                                </w:rPr>
                              </w:pPr>
                              <w:r w:rsidRPr="00B00D11">
                                <w:rPr>
                                  <w:rFonts w:ascii="Arial" w:eastAsia="Times New Roman" w:hAnsi="Arial" w:cs="Arial"/>
                                  <w:color w:val="000000"/>
                                  <w:sz w:val="17"/>
                                  <w:szCs w:val="17"/>
                                </w:rPr>
                                <w:t>Contact</w:t>
                              </w:r>
                            </w:p>
                          </w:tc>
                          <w:tc>
                            <w:tcPr>
                              <w:tcW w:w="0" w:type="auto"/>
                              <w:noWrap/>
                              <w:tcMar>
                                <w:top w:w="30" w:type="dxa"/>
                                <w:left w:w="30" w:type="dxa"/>
                                <w:bottom w:w="30" w:type="dxa"/>
                                <w:right w:w="150" w:type="dxa"/>
                              </w:tcMar>
                              <w:vAlign w:val="center"/>
                              <w:hideMark/>
                            </w:tcPr>
                            <w:p w:rsidR="00B00D11" w:rsidRPr="00B00D11" w:rsidRDefault="00B00D11" w:rsidP="00B00D11">
                              <w:pPr>
                                <w:spacing w:after="0" w:line="240" w:lineRule="auto"/>
                                <w:rPr>
                                  <w:rFonts w:ascii="Arial" w:eastAsia="Times New Roman" w:hAnsi="Arial" w:cs="Arial"/>
                                  <w:color w:val="000000"/>
                                  <w:sz w:val="17"/>
                                  <w:szCs w:val="17"/>
                                </w:rPr>
                              </w:pPr>
                              <w:r w:rsidRPr="00B00D11">
                                <w:rPr>
                                  <w:rFonts w:ascii="Arial" w:eastAsia="Times New Roman" w:hAnsi="Arial" w:cs="Arial"/>
                                  <w:noProof/>
                                  <w:color w:val="000000"/>
                                  <w:sz w:val="17"/>
                                  <w:szCs w:val="17"/>
                                </w:rPr>
                                <w:drawing>
                                  <wp:inline distT="0" distB="0" distL="0" distR="0">
                                    <wp:extent cx="209550" cy="123825"/>
                                    <wp:effectExtent l="0" t="0" r="0" b="9525"/>
                                    <wp:docPr id="2" name="Picture 2" descr="http://bross.vn/theme_images/sv_mai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oss.vn/theme_images/sv_mail.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p>
                          </w:tc>
                          <w:tc>
                            <w:tcPr>
                              <w:tcW w:w="0" w:type="auto"/>
                              <w:noWrap/>
                              <w:tcMar>
                                <w:top w:w="30" w:type="dxa"/>
                                <w:left w:w="30" w:type="dxa"/>
                                <w:bottom w:w="30" w:type="dxa"/>
                                <w:right w:w="75" w:type="dxa"/>
                              </w:tcMar>
                              <w:vAlign w:val="center"/>
                              <w:hideMark/>
                            </w:tcPr>
                            <w:p w:rsidR="00B00D11" w:rsidRPr="00B00D11" w:rsidRDefault="00B00D11" w:rsidP="00B00D11">
                              <w:pPr>
                                <w:spacing w:after="0" w:line="240" w:lineRule="auto"/>
                                <w:rPr>
                                  <w:rFonts w:ascii="Arial" w:eastAsia="Times New Roman" w:hAnsi="Arial" w:cs="Arial"/>
                                  <w:color w:val="000000"/>
                                  <w:sz w:val="17"/>
                                  <w:szCs w:val="17"/>
                                </w:rPr>
                              </w:pPr>
                              <w:r w:rsidRPr="00B00D11">
                                <w:rPr>
                                  <w:rFonts w:ascii="Arial" w:eastAsia="Times New Roman" w:hAnsi="Arial" w:cs="Arial"/>
                                  <w:color w:val="000000"/>
                                  <w:sz w:val="17"/>
                                  <w:szCs w:val="17"/>
                                </w:rPr>
                                <w:t>Print</w:t>
                              </w:r>
                            </w:p>
                          </w:tc>
                          <w:tc>
                            <w:tcPr>
                              <w:tcW w:w="0" w:type="auto"/>
                              <w:noWrap/>
                              <w:tcMar>
                                <w:top w:w="30" w:type="dxa"/>
                                <w:left w:w="30" w:type="dxa"/>
                                <w:bottom w:w="30" w:type="dxa"/>
                                <w:right w:w="150" w:type="dxa"/>
                              </w:tcMar>
                              <w:hideMark/>
                            </w:tcPr>
                            <w:p w:rsidR="00B00D11" w:rsidRPr="00B00D11" w:rsidRDefault="00B00D11" w:rsidP="00B00D11">
                              <w:pPr>
                                <w:spacing w:after="0" w:line="240" w:lineRule="auto"/>
                                <w:rPr>
                                  <w:rFonts w:ascii="Arial" w:eastAsia="Times New Roman" w:hAnsi="Arial" w:cs="Arial"/>
                                  <w:color w:val="000000"/>
                                  <w:sz w:val="17"/>
                                  <w:szCs w:val="17"/>
                                </w:rPr>
                              </w:pPr>
                              <w:r w:rsidRPr="00B00D11">
                                <w:rPr>
                                  <w:rFonts w:ascii="Arial" w:eastAsia="Times New Roman" w:hAnsi="Arial" w:cs="Arial"/>
                                  <w:noProof/>
                                  <w:color w:val="000000"/>
                                  <w:sz w:val="17"/>
                                  <w:szCs w:val="17"/>
                                </w:rPr>
                                <w:drawing>
                                  <wp:inline distT="0" distB="0" distL="0" distR="0">
                                    <wp:extent cx="228600" cy="228600"/>
                                    <wp:effectExtent l="0" t="0" r="0" b="0"/>
                                    <wp:docPr id="1" name="Picture 1" descr="http://bross.vn/theme_images/sv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oss.vn/theme_images/sv_pri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00D11" w:rsidRPr="00B00D11" w:rsidRDefault="00B00D11" w:rsidP="00B00D11">
                        <w:pPr>
                          <w:spacing w:after="0" w:line="240" w:lineRule="auto"/>
                          <w:rPr>
                            <w:rFonts w:ascii="Arial" w:eastAsia="Times New Roman" w:hAnsi="Arial" w:cs="Arial"/>
                            <w:color w:val="000000"/>
                            <w:sz w:val="17"/>
                            <w:szCs w:val="17"/>
                          </w:rPr>
                        </w:pPr>
                      </w:p>
                    </w:tc>
                    <w:tc>
                      <w:tcPr>
                        <w:tcW w:w="0" w:type="auto"/>
                        <w:vAlign w:val="center"/>
                        <w:hideMark/>
                      </w:tcPr>
                      <w:p w:rsidR="00B00D11" w:rsidRPr="00B00D11" w:rsidRDefault="00B00D11" w:rsidP="00B00D11">
                        <w:pPr>
                          <w:spacing w:after="0" w:line="240" w:lineRule="auto"/>
                          <w:rPr>
                            <w:rFonts w:ascii="Times New Roman" w:eastAsia="Times New Roman" w:hAnsi="Times New Roman" w:cs="Times New Roman"/>
                            <w:sz w:val="20"/>
                            <w:szCs w:val="20"/>
                          </w:rPr>
                        </w:pPr>
                      </w:p>
                    </w:tc>
                  </w:tr>
                </w:tbl>
                <w:p w:rsidR="00B00D11" w:rsidRPr="00B00D11" w:rsidRDefault="00B00D11" w:rsidP="00B00D11">
                  <w:pPr>
                    <w:spacing w:after="0" w:line="240" w:lineRule="auto"/>
                    <w:rPr>
                      <w:rFonts w:ascii="Arial" w:eastAsia="Times New Roman" w:hAnsi="Arial" w:cs="Arial"/>
                      <w:color w:val="000000"/>
                      <w:sz w:val="17"/>
                      <w:szCs w:val="17"/>
                    </w:rPr>
                  </w:pPr>
                </w:p>
              </w:tc>
            </w:tr>
          </w:tbl>
          <w:p w:rsidR="00B00D11" w:rsidRPr="00B00D11" w:rsidRDefault="00B00D11" w:rsidP="00B00D11">
            <w:pPr>
              <w:spacing w:after="0" w:line="240" w:lineRule="auto"/>
              <w:rPr>
                <w:rFonts w:ascii="Arial" w:eastAsia="Times New Roman" w:hAnsi="Arial" w:cs="Arial"/>
                <w:color w:val="000000"/>
                <w:sz w:val="17"/>
                <w:szCs w:val="17"/>
              </w:rPr>
            </w:pPr>
          </w:p>
        </w:tc>
      </w:tr>
    </w:tbl>
    <w:p w:rsidR="0019092F" w:rsidRDefault="0019092F">
      <w:bookmarkStart w:id="0" w:name="_GoBack"/>
      <w:bookmarkEnd w:id="0"/>
    </w:p>
    <w:sectPr w:rsidR="0019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11"/>
    <w:rsid w:val="000062F2"/>
    <w:rsid w:val="00011179"/>
    <w:rsid w:val="00011BC2"/>
    <w:rsid w:val="00011FFC"/>
    <w:rsid w:val="00012544"/>
    <w:rsid w:val="0001365C"/>
    <w:rsid w:val="000171D4"/>
    <w:rsid w:val="00021477"/>
    <w:rsid w:val="000238FF"/>
    <w:rsid w:val="00023C69"/>
    <w:rsid w:val="000322F9"/>
    <w:rsid w:val="00036AD1"/>
    <w:rsid w:val="000425E3"/>
    <w:rsid w:val="00044953"/>
    <w:rsid w:val="00045B1D"/>
    <w:rsid w:val="00051927"/>
    <w:rsid w:val="00056349"/>
    <w:rsid w:val="00064CA2"/>
    <w:rsid w:val="00067818"/>
    <w:rsid w:val="00070C59"/>
    <w:rsid w:val="0007230E"/>
    <w:rsid w:val="000733DC"/>
    <w:rsid w:val="00074931"/>
    <w:rsid w:val="000778F7"/>
    <w:rsid w:val="000823C7"/>
    <w:rsid w:val="00084BAD"/>
    <w:rsid w:val="0009314A"/>
    <w:rsid w:val="000A6230"/>
    <w:rsid w:val="000A6B1F"/>
    <w:rsid w:val="000B11EE"/>
    <w:rsid w:val="000B3550"/>
    <w:rsid w:val="000B72D2"/>
    <w:rsid w:val="000B7BD7"/>
    <w:rsid w:val="000C2311"/>
    <w:rsid w:val="000C40D8"/>
    <w:rsid w:val="000C4477"/>
    <w:rsid w:val="000D63EE"/>
    <w:rsid w:val="000E0BCF"/>
    <w:rsid w:val="000E0E22"/>
    <w:rsid w:val="000E627E"/>
    <w:rsid w:val="000E7078"/>
    <w:rsid w:val="000F7778"/>
    <w:rsid w:val="00106D91"/>
    <w:rsid w:val="00107BD8"/>
    <w:rsid w:val="0011126B"/>
    <w:rsid w:val="001152FF"/>
    <w:rsid w:val="0012050C"/>
    <w:rsid w:val="001209DC"/>
    <w:rsid w:val="00124256"/>
    <w:rsid w:val="001313D3"/>
    <w:rsid w:val="00135DFF"/>
    <w:rsid w:val="001426AA"/>
    <w:rsid w:val="00144D93"/>
    <w:rsid w:val="001526DD"/>
    <w:rsid w:val="0015569C"/>
    <w:rsid w:val="00163080"/>
    <w:rsid w:val="00164743"/>
    <w:rsid w:val="00165C19"/>
    <w:rsid w:val="00170599"/>
    <w:rsid w:val="00171716"/>
    <w:rsid w:val="001719DD"/>
    <w:rsid w:val="00172CCB"/>
    <w:rsid w:val="001747E2"/>
    <w:rsid w:val="001759D7"/>
    <w:rsid w:val="00180F0A"/>
    <w:rsid w:val="0019092F"/>
    <w:rsid w:val="001A07A1"/>
    <w:rsid w:val="001A3B22"/>
    <w:rsid w:val="001A5612"/>
    <w:rsid w:val="001A640B"/>
    <w:rsid w:val="001B32D9"/>
    <w:rsid w:val="001B5D26"/>
    <w:rsid w:val="001B74BF"/>
    <w:rsid w:val="001B778E"/>
    <w:rsid w:val="001C154B"/>
    <w:rsid w:val="001C218D"/>
    <w:rsid w:val="001C26F9"/>
    <w:rsid w:val="001E3CF0"/>
    <w:rsid w:val="001E3F19"/>
    <w:rsid w:val="001E7876"/>
    <w:rsid w:val="001E7CB2"/>
    <w:rsid w:val="001F083E"/>
    <w:rsid w:val="001F0DF7"/>
    <w:rsid w:val="001F3AFB"/>
    <w:rsid w:val="001F593D"/>
    <w:rsid w:val="001F5C20"/>
    <w:rsid w:val="00204651"/>
    <w:rsid w:val="00204DBB"/>
    <w:rsid w:val="002050B7"/>
    <w:rsid w:val="00212EC2"/>
    <w:rsid w:val="00213597"/>
    <w:rsid w:val="0021602B"/>
    <w:rsid w:val="00216CBB"/>
    <w:rsid w:val="00222E19"/>
    <w:rsid w:val="002239EA"/>
    <w:rsid w:val="002305BE"/>
    <w:rsid w:val="0023185E"/>
    <w:rsid w:val="002334FB"/>
    <w:rsid w:val="00233ED2"/>
    <w:rsid w:val="00235966"/>
    <w:rsid w:val="00242ABD"/>
    <w:rsid w:val="0025089B"/>
    <w:rsid w:val="00251015"/>
    <w:rsid w:val="002543A0"/>
    <w:rsid w:val="002543F5"/>
    <w:rsid w:val="002546AC"/>
    <w:rsid w:val="00255D9D"/>
    <w:rsid w:val="002654E9"/>
    <w:rsid w:val="002700A7"/>
    <w:rsid w:val="00271A42"/>
    <w:rsid w:val="0027242F"/>
    <w:rsid w:val="002738CA"/>
    <w:rsid w:val="00273F1F"/>
    <w:rsid w:val="00283DEF"/>
    <w:rsid w:val="00285073"/>
    <w:rsid w:val="0028651B"/>
    <w:rsid w:val="00286BEA"/>
    <w:rsid w:val="00294418"/>
    <w:rsid w:val="00294586"/>
    <w:rsid w:val="0029656C"/>
    <w:rsid w:val="0029779A"/>
    <w:rsid w:val="002A004B"/>
    <w:rsid w:val="002A0850"/>
    <w:rsid w:val="002A1A20"/>
    <w:rsid w:val="002A1CB5"/>
    <w:rsid w:val="002A2A7B"/>
    <w:rsid w:val="002A6584"/>
    <w:rsid w:val="002B0BF1"/>
    <w:rsid w:val="002B50B7"/>
    <w:rsid w:val="002B583A"/>
    <w:rsid w:val="002B620D"/>
    <w:rsid w:val="002C1C27"/>
    <w:rsid w:val="002C1EA9"/>
    <w:rsid w:val="002D0FCB"/>
    <w:rsid w:val="002D6FE5"/>
    <w:rsid w:val="002E1C76"/>
    <w:rsid w:val="002E4F7B"/>
    <w:rsid w:val="002E5A32"/>
    <w:rsid w:val="002E7134"/>
    <w:rsid w:val="002E787C"/>
    <w:rsid w:val="00303760"/>
    <w:rsid w:val="00304B98"/>
    <w:rsid w:val="00312A62"/>
    <w:rsid w:val="00315F2F"/>
    <w:rsid w:val="003239CC"/>
    <w:rsid w:val="00331764"/>
    <w:rsid w:val="00331C32"/>
    <w:rsid w:val="00335D1F"/>
    <w:rsid w:val="00344587"/>
    <w:rsid w:val="0034527B"/>
    <w:rsid w:val="003471D1"/>
    <w:rsid w:val="003477F5"/>
    <w:rsid w:val="00347B25"/>
    <w:rsid w:val="00347ED4"/>
    <w:rsid w:val="00355A77"/>
    <w:rsid w:val="003625A6"/>
    <w:rsid w:val="00362A91"/>
    <w:rsid w:val="003645D2"/>
    <w:rsid w:val="00364A21"/>
    <w:rsid w:val="003737F4"/>
    <w:rsid w:val="00376834"/>
    <w:rsid w:val="0037692F"/>
    <w:rsid w:val="003771F5"/>
    <w:rsid w:val="00393757"/>
    <w:rsid w:val="0039491F"/>
    <w:rsid w:val="00396EEE"/>
    <w:rsid w:val="00397DC4"/>
    <w:rsid w:val="003A17CE"/>
    <w:rsid w:val="003A36DE"/>
    <w:rsid w:val="003A601B"/>
    <w:rsid w:val="003A61F7"/>
    <w:rsid w:val="003A72A3"/>
    <w:rsid w:val="003B1C0A"/>
    <w:rsid w:val="003C6A4C"/>
    <w:rsid w:val="003D06AF"/>
    <w:rsid w:val="003D4E1F"/>
    <w:rsid w:val="003D53A1"/>
    <w:rsid w:val="003D5FB1"/>
    <w:rsid w:val="003D79EB"/>
    <w:rsid w:val="003E106C"/>
    <w:rsid w:val="003E14D0"/>
    <w:rsid w:val="003E75EE"/>
    <w:rsid w:val="003F0F89"/>
    <w:rsid w:val="003F319D"/>
    <w:rsid w:val="0040462A"/>
    <w:rsid w:val="004054FF"/>
    <w:rsid w:val="004125E8"/>
    <w:rsid w:val="0041317C"/>
    <w:rsid w:val="00414F1C"/>
    <w:rsid w:val="004155E5"/>
    <w:rsid w:val="00416484"/>
    <w:rsid w:val="00420426"/>
    <w:rsid w:val="0042085C"/>
    <w:rsid w:val="004223E8"/>
    <w:rsid w:val="00425DF9"/>
    <w:rsid w:val="00430BCF"/>
    <w:rsid w:val="00434517"/>
    <w:rsid w:val="004348F4"/>
    <w:rsid w:val="00440038"/>
    <w:rsid w:val="00441F2E"/>
    <w:rsid w:val="0044408A"/>
    <w:rsid w:val="00445110"/>
    <w:rsid w:val="00446013"/>
    <w:rsid w:val="00447014"/>
    <w:rsid w:val="0044757B"/>
    <w:rsid w:val="004478FC"/>
    <w:rsid w:val="00452C28"/>
    <w:rsid w:val="004561C7"/>
    <w:rsid w:val="00456443"/>
    <w:rsid w:val="00460055"/>
    <w:rsid w:val="00462CF5"/>
    <w:rsid w:val="0046687A"/>
    <w:rsid w:val="00466F26"/>
    <w:rsid w:val="0047369A"/>
    <w:rsid w:val="004746E3"/>
    <w:rsid w:val="004752B5"/>
    <w:rsid w:val="00476011"/>
    <w:rsid w:val="00484107"/>
    <w:rsid w:val="00485D98"/>
    <w:rsid w:val="00487FF6"/>
    <w:rsid w:val="00491B3D"/>
    <w:rsid w:val="004A38AD"/>
    <w:rsid w:val="004A76F3"/>
    <w:rsid w:val="004B4196"/>
    <w:rsid w:val="004C10E8"/>
    <w:rsid w:val="004C2285"/>
    <w:rsid w:val="004C4AAE"/>
    <w:rsid w:val="004C7B12"/>
    <w:rsid w:val="004D6055"/>
    <w:rsid w:val="004D6D99"/>
    <w:rsid w:val="004D72B9"/>
    <w:rsid w:val="004E0F6C"/>
    <w:rsid w:val="004E1D15"/>
    <w:rsid w:val="004E5705"/>
    <w:rsid w:val="004E7089"/>
    <w:rsid w:val="004F130B"/>
    <w:rsid w:val="005108CA"/>
    <w:rsid w:val="00513362"/>
    <w:rsid w:val="005149BC"/>
    <w:rsid w:val="00514F4A"/>
    <w:rsid w:val="00515624"/>
    <w:rsid w:val="00515D0E"/>
    <w:rsid w:val="00516BEB"/>
    <w:rsid w:val="0052009B"/>
    <w:rsid w:val="00520F12"/>
    <w:rsid w:val="005219FE"/>
    <w:rsid w:val="005227E4"/>
    <w:rsid w:val="00522C7F"/>
    <w:rsid w:val="005243F7"/>
    <w:rsid w:val="005313FC"/>
    <w:rsid w:val="00531683"/>
    <w:rsid w:val="005336BE"/>
    <w:rsid w:val="005336D9"/>
    <w:rsid w:val="00537529"/>
    <w:rsid w:val="0054125C"/>
    <w:rsid w:val="00542545"/>
    <w:rsid w:val="00545CF4"/>
    <w:rsid w:val="00551EEA"/>
    <w:rsid w:val="005542EB"/>
    <w:rsid w:val="00554EB4"/>
    <w:rsid w:val="00555A97"/>
    <w:rsid w:val="00561758"/>
    <w:rsid w:val="005617BA"/>
    <w:rsid w:val="005632A1"/>
    <w:rsid w:val="00563EBC"/>
    <w:rsid w:val="005664F1"/>
    <w:rsid w:val="00570524"/>
    <w:rsid w:val="00571902"/>
    <w:rsid w:val="00574103"/>
    <w:rsid w:val="005755CF"/>
    <w:rsid w:val="005764F8"/>
    <w:rsid w:val="00581F3A"/>
    <w:rsid w:val="00584BD6"/>
    <w:rsid w:val="00584DA9"/>
    <w:rsid w:val="00587E3B"/>
    <w:rsid w:val="00591272"/>
    <w:rsid w:val="005A2899"/>
    <w:rsid w:val="005A47C8"/>
    <w:rsid w:val="005A4998"/>
    <w:rsid w:val="005A4F9D"/>
    <w:rsid w:val="005B0D6E"/>
    <w:rsid w:val="005B33E0"/>
    <w:rsid w:val="005B56AC"/>
    <w:rsid w:val="005C135F"/>
    <w:rsid w:val="005C216B"/>
    <w:rsid w:val="005D2742"/>
    <w:rsid w:val="005D5D60"/>
    <w:rsid w:val="005E2173"/>
    <w:rsid w:val="005E30CF"/>
    <w:rsid w:val="005E6496"/>
    <w:rsid w:val="005F1B15"/>
    <w:rsid w:val="005F306A"/>
    <w:rsid w:val="005F49EF"/>
    <w:rsid w:val="005F5CA1"/>
    <w:rsid w:val="005F66AB"/>
    <w:rsid w:val="005F68AA"/>
    <w:rsid w:val="00600C03"/>
    <w:rsid w:val="00601303"/>
    <w:rsid w:val="0060149F"/>
    <w:rsid w:val="0060253D"/>
    <w:rsid w:val="0060289F"/>
    <w:rsid w:val="006048C6"/>
    <w:rsid w:val="006071BF"/>
    <w:rsid w:val="006111FA"/>
    <w:rsid w:val="00611C7B"/>
    <w:rsid w:val="00613CA0"/>
    <w:rsid w:val="006240E0"/>
    <w:rsid w:val="006262F2"/>
    <w:rsid w:val="00626680"/>
    <w:rsid w:val="006330EA"/>
    <w:rsid w:val="0063408B"/>
    <w:rsid w:val="00636202"/>
    <w:rsid w:val="00643AE6"/>
    <w:rsid w:val="00644B97"/>
    <w:rsid w:val="00656F4D"/>
    <w:rsid w:val="00660317"/>
    <w:rsid w:val="00660C4B"/>
    <w:rsid w:val="00660F48"/>
    <w:rsid w:val="006706A9"/>
    <w:rsid w:val="00671626"/>
    <w:rsid w:val="006812C7"/>
    <w:rsid w:val="00683964"/>
    <w:rsid w:val="00686025"/>
    <w:rsid w:val="00690E1A"/>
    <w:rsid w:val="006950E1"/>
    <w:rsid w:val="006959A9"/>
    <w:rsid w:val="006A690D"/>
    <w:rsid w:val="006B3E72"/>
    <w:rsid w:val="006B5EEA"/>
    <w:rsid w:val="006B6AA7"/>
    <w:rsid w:val="006B77BE"/>
    <w:rsid w:val="006C19DD"/>
    <w:rsid w:val="006C2896"/>
    <w:rsid w:val="006D2073"/>
    <w:rsid w:val="006D52BA"/>
    <w:rsid w:val="006E0B2E"/>
    <w:rsid w:val="006E0FA5"/>
    <w:rsid w:val="006E5E30"/>
    <w:rsid w:val="006F6869"/>
    <w:rsid w:val="00700123"/>
    <w:rsid w:val="00700D56"/>
    <w:rsid w:val="00703810"/>
    <w:rsid w:val="00705F41"/>
    <w:rsid w:val="00712D65"/>
    <w:rsid w:val="00715C24"/>
    <w:rsid w:val="00717570"/>
    <w:rsid w:val="00720F12"/>
    <w:rsid w:val="0072186C"/>
    <w:rsid w:val="00723668"/>
    <w:rsid w:val="0072664D"/>
    <w:rsid w:val="0073294F"/>
    <w:rsid w:val="00735479"/>
    <w:rsid w:val="00735C29"/>
    <w:rsid w:val="00741CFA"/>
    <w:rsid w:val="0074241C"/>
    <w:rsid w:val="00742FD1"/>
    <w:rsid w:val="00743DBB"/>
    <w:rsid w:val="00746217"/>
    <w:rsid w:val="007471DC"/>
    <w:rsid w:val="00754D60"/>
    <w:rsid w:val="007552EE"/>
    <w:rsid w:val="00760361"/>
    <w:rsid w:val="00760BE3"/>
    <w:rsid w:val="0077421D"/>
    <w:rsid w:val="00780EFC"/>
    <w:rsid w:val="007848FB"/>
    <w:rsid w:val="00784D63"/>
    <w:rsid w:val="00790975"/>
    <w:rsid w:val="00792A34"/>
    <w:rsid w:val="0079410C"/>
    <w:rsid w:val="00795CC5"/>
    <w:rsid w:val="007979FD"/>
    <w:rsid w:val="007A69B3"/>
    <w:rsid w:val="007B0E17"/>
    <w:rsid w:val="007B28C6"/>
    <w:rsid w:val="007C6A77"/>
    <w:rsid w:val="007D0FBF"/>
    <w:rsid w:val="007D19B0"/>
    <w:rsid w:val="007D21B1"/>
    <w:rsid w:val="007D6A2B"/>
    <w:rsid w:val="007E05DE"/>
    <w:rsid w:val="007E12D6"/>
    <w:rsid w:val="007E61A1"/>
    <w:rsid w:val="007E75F8"/>
    <w:rsid w:val="0080243E"/>
    <w:rsid w:val="00810DD5"/>
    <w:rsid w:val="00816825"/>
    <w:rsid w:val="00817EA6"/>
    <w:rsid w:val="008320C1"/>
    <w:rsid w:val="00832404"/>
    <w:rsid w:val="008327CF"/>
    <w:rsid w:val="00832A47"/>
    <w:rsid w:val="008379EF"/>
    <w:rsid w:val="00842BE5"/>
    <w:rsid w:val="00845530"/>
    <w:rsid w:val="008477A1"/>
    <w:rsid w:val="0085141A"/>
    <w:rsid w:val="00852549"/>
    <w:rsid w:val="0085320B"/>
    <w:rsid w:val="008538AF"/>
    <w:rsid w:val="0085450F"/>
    <w:rsid w:val="00854E70"/>
    <w:rsid w:val="00864593"/>
    <w:rsid w:val="008666D3"/>
    <w:rsid w:val="00866CE5"/>
    <w:rsid w:val="00866D89"/>
    <w:rsid w:val="00867F22"/>
    <w:rsid w:val="0088125D"/>
    <w:rsid w:val="00885F5A"/>
    <w:rsid w:val="0088728A"/>
    <w:rsid w:val="008904B5"/>
    <w:rsid w:val="00891F96"/>
    <w:rsid w:val="00892011"/>
    <w:rsid w:val="008951B8"/>
    <w:rsid w:val="00895653"/>
    <w:rsid w:val="008A203A"/>
    <w:rsid w:val="008A62C8"/>
    <w:rsid w:val="008A6520"/>
    <w:rsid w:val="008A6D27"/>
    <w:rsid w:val="008B24A2"/>
    <w:rsid w:val="008B3219"/>
    <w:rsid w:val="008B5E63"/>
    <w:rsid w:val="008C2F8E"/>
    <w:rsid w:val="008C42DA"/>
    <w:rsid w:val="008C5D22"/>
    <w:rsid w:val="008D2417"/>
    <w:rsid w:val="008D4E2A"/>
    <w:rsid w:val="008D518D"/>
    <w:rsid w:val="008D7B90"/>
    <w:rsid w:val="008E4EE9"/>
    <w:rsid w:val="008F11CF"/>
    <w:rsid w:val="008F3F50"/>
    <w:rsid w:val="009001EF"/>
    <w:rsid w:val="00902CF8"/>
    <w:rsid w:val="00905412"/>
    <w:rsid w:val="009059C1"/>
    <w:rsid w:val="0090716A"/>
    <w:rsid w:val="009110BF"/>
    <w:rsid w:val="00911206"/>
    <w:rsid w:val="00917DB5"/>
    <w:rsid w:val="0092229F"/>
    <w:rsid w:val="00924DDA"/>
    <w:rsid w:val="00927FE6"/>
    <w:rsid w:val="00931CBC"/>
    <w:rsid w:val="0093610E"/>
    <w:rsid w:val="00936A13"/>
    <w:rsid w:val="009467F5"/>
    <w:rsid w:val="009468C6"/>
    <w:rsid w:val="00950CA0"/>
    <w:rsid w:val="0095304F"/>
    <w:rsid w:val="00953588"/>
    <w:rsid w:val="00953A52"/>
    <w:rsid w:val="00956964"/>
    <w:rsid w:val="009574C8"/>
    <w:rsid w:val="00960379"/>
    <w:rsid w:val="0096072A"/>
    <w:rsid w:val="00962275"/>
    <w:rsid w:val="00963962"/>
    <w:rsid w:val="009659A9"/>
    <w:rsid w:val="0097043E"/>
    <w:rsid w:val="0097271F"/>
    <w:rsid w:val="00974A2B"/>
    <w:rsid w:val="009766BD"/>
    <w:rsid w:val="009837AB"/>
    <w:rsid w:val="00983A6C"/>
    <w:rsid w:val="00987821"/>
    <w:rsid w:val="00987A5D"/>
    <w:rsid w:val="00993203"/>
    <w:rsid w:val="009932A5"/>
    <w:rsid w:val="00994FE6"/>
    <w:rsid w:val="009979F3"/>
    <w:rsid w:val="009A0087"/>
    <w:rsid w:val="009A2A78"/>
    <w:rsid w:val="009A3DAB"/>
    <w:rsid w:val="009A6D43"/>
    <w:rsid w:val="009B5EAD"/>
    <w:rsid w:val="009C22F2"/>
    <w:rsid w:val="009D1D60"/>
    <w:rsid w:val="009D2C6F"/>
    <w:rsid w:val="009E7671"/>
    <w:rsid w:val="009F0B7F"/>
    <w:rsid w:val="009F45ED"/>
    <w:rsid w:val="009F71D3"/>
    <w:rsid w:val="00A04BF9"/>
    <w:rsid w:val="00A0565E"/>
    <w:rsid w:val="00A0719F"/>
    <w:rsid w:val="00A072C1"/>
    <w:rsid w:val="00A13A73"/>
    <w:rsid w:val="00A13EFB"/>
    <w:rsid w:val="00A1571D"/>
    <w:rsid w:val="00A2064D"/>
    <w:rsid w:val="00A22ADB"/>
    <w:rsid w:val="00A22E0C"/>
    <w:rsid w:val="00A271FF"/>
    <w:rsid w:val="00A27915"/>
    <w:rsid w:val="00A301B1"/>
    <w:rsid w:val="00A307FF"/>
    <w:rsid w:val="00A46000"/>
    <w:rsid w:val="00A467E2"/>
    <w:rsid w:val="00A4788F"/>
    <w:rsid w:val="00A504EC"/>
    <w:rsid w:val="00A5231B"/>
    <w:rsid w:val="00A576D1"/>
    <w:rsid w:val="00A63B87"/>
    <w:rsid w:val="00A644AE"/>
    <w:rsid w:val="00A67384"/>
    <w:rsid w:val="00A67918"/>
    <w:rsid w:val="00A71F03"/>
    <w:rsid w:val="00A7571C"/>
    <w:rsid w:val="00A77609"/>
    <w:rsid w:val="00A815EF"/>
    <w:rsid w:val="00A82701"/>
    <w:rsid w:val="00A83FE4"/>
    <w:rsid w:val="00A84971"/>
    <w:rsid w:val="00A918FB"/>
    <w:rsid w:val="00A92F53"/>
    <w:rsid w:val="00A95DDE"/>
    <w:rsid w:val="00AA1599"/>
    <w:rsid w:val="00AA294D"/>
    <w:rsid w:val="00AA3D5E"/>
    <w:rsid w:val="00AA5A7D"/>
    <w:rsid w:val="00AA794B"/>
    <w:rsid w:val="00AB47B5"/>
    <w:rsid w:val="00AB59C8"/>
    <w:rsid w:val="00AC774F"/>
    <w:rsid w:val="00AC7881"/>
    <w:rsid w:val="00AD22C0"/>
    <w:rsid w:val="00AD26EF"/>
    <w:rsid w:val="00AD64F4"/>
    <w:rsid w:val="00AE0516"/>
    <w:rsid w:val="00AE36C7"/>
    <w:rsid w:val="00B00D11"/>
    <w:rsid w:val="00B0578E"/>
    <w:rsid w:val="00B07D53"/>
    <w:rsid w:val="00B123BA"/>
    <w:rsid w:val="00B12B12"/>
    <w:rsid w:val="00B14751"/>
    <w:rsid w:val="00B15EBF"/>
    <w:rsid w:val="00B17307"/>
    <w:rsid w:val="00B175EA"/>
    <w:rsid w:val="00B23A13"/>
    <w:rsid w:val="00B50FFF"/>
    <w:rsid w:val="00B556F0"/>
    <w:rsid w:val="00B61C44"/>
    <w:rsid w:val="00B63E9C"/>
    <w:rsid w:val="00B67F8F"/>
    <w:rsid w:val="00B74175"/>
    <w:rsid w:val="00B74C35"/>
    <w:rsid w:val="00B74FC7"/>
    <w:rsid w:val="00B75262"/>
    <w:rsid w:val="00B821C8"/>
    <w:rsid w:val="00B83191"/>
    <w:rsid w:val="00B86999"/>
    <w:rsid w:val="00B9157D"/>
    <w:rsid w:val="00B96534"/>
    <w:rsid w:val="00BA0B5E"/>
    <w:rsid w:val="00BA5E32"/>
    <w:rsid w:val="00BB2D1E"/>
    <w:rsid w:val="00BB593E"/>
    <w:rsid w:val="00BD076C"/>
    <w:rsid w:val="00BD321D"/>
    <w:rsid w:val="00BD42CB"/>
    <w:rsid w:val="00BD6B3E"/>
    <w:rsid w:val="00BE6615"/>
    <w:rsid w:val="00BF01EF"/>
    <w:rsid w:val="00BF054A"/>
    <w:rsid w:val="00BF6117"/>
    <w:rsid w:val="00BF6146"/>
    <w:rsid w:val="00BF7A40"/>
    <w:rsid w:val="00C047E6"/>
    <w:rsid w:val="00C050A9"/>
    <w:rsid w:val="00C07B99"/>
    <w:rsid w:val="00C13ED6"/>
    <w:rsid w:val="00C14E0F"/>
    <w:rsid w:val="00C15A9B"/>
    <w:rsid w:val="00C16926"/>
    <w:rsid w:val="00C20180"/>
    <w:rsid w:val="00C21644"/>
    <w:rsid w:val="00C248FB"/>
    <w:rsid w:val="00C30D45"/>
    <w:rsid w:val="00C31B2B"/>
    <w:rsid w:val="00C37A61"/>
    <w:rsid w:val="00C452EB"/>
    <w:rsid w:val="00C47B1B"/>
    <w:rsid w:val="00C53074"/>
    <w:rsid w:val="00C57FD9"/>
    <w:rsid w:val="00C62252"/>
    <w:rsid w:val="00C652B9"/>
    <w:rsid w:val="00C709E5"/>
    <w:rsid w:val="00C75815"/>
    <w:rsid w:val="00C75D2F"/>
    <w:rsid w:val="00C81F48"/>
    <w:rsid w:val="00C83EFB"/>
    <w:rsid w:val="00C8527C"/>
    <w:rsid w:val="00C85743"/>
    <w:rsid w:val="00C86B8B"/>
    <w:rsid w:val="00C908DE"/>
    <w:rsid w:val="00C94582"/>
    <w:rsid w:val="00C9777B"/>
    <w:rsid w:val="00C97962"/>
    <w:rsid w:val="00CA04F7"/>
    <w:rsid w:val="00CA271D"/>
    <w:rsid w:val="00CB125B"/>
    <w:rsid w:val="00CB1EAB"/>
    <w:rsid w:val="00CB7681"/>
    <w:rsid w:val="00CB77A4"/>
    <w:rsid w:val="00CC3EBE"/>
    <w:rsid w:val="00CC6833"/>
    <w:rsid w:val="00CD092D"/>
    <w:rsid w:val="00CD2164"/>
    <w:rsid w:val="00CE3EFE"/>
    <w:rsid w:val="00CF22BF"/>
    <w:rsid w:val="00CF554D"/>
    <w:rsid w:val="00D03E31"/>
    <w:rsid w:val="00D0576E"/>
    <w:rsid w:val="00D10DBC"/>
    <w:rsid w:val="00D14A4E"/>
    <w:rsid w:val="00D15A4E"/>
    <w:rsid w:val="00D166CC"/>
    <w:rsid w:val="00D169F2"/>
    <w:rsid w:val="00D215F5"/>
    <w:rsid w:val="00D27EBE"/>
    <w:rsid w:val="00D300E5"/>
    <w:rsid w:val="00D30EAC"/>
    <w:rsid w:val="00D362D7"/>
    <w:rsid w:val="00D363C2"/>
    <w:rsid w:val="00D44BE8"/>
    <w:rsid w:val="00D47E88"/>
    <w:rsid w:val="00D50AE6"/>
    <w:rsid w:val="00D50C4A"/>
    <w:rsid w:val="00D612EF"/>
    <w:rsid w:val="00D63F13"/>
    <w:rsid w:val="00D80BFE"/>
    <w:rsid w:val="00D84093"/>
    <w:rsid w:val="00D84593"/>
    <w:rsid w:val="00D87AEE"/>
    <w:rsid w:val="00D91559"/>
    <w:rsid w:val="00D91F20"/>
    <w:rsid w:val="00D9596E"/>
    <w:rsid w:val="00DA2E82"/>
    <w:rsid w:val="00DB2F75"/>
    <w:rsid w:val="00DB45B9"/>
    <w:rsid w:val="00DB4EAE"/>
    <w:rsid w:val="00DB5C41"/>
    <w:rsid w:val="00DB620B"/>
    <w:rsid w:val="00DC03F1"/>
    <w:rsid w:val="00DC06FB"/>
    <w:rsid w:val="00DC4302"/>
    <w:rsid w:val="00DC5BC7"/>
    <w:rsid w:val="00DC72DC"/>
    <w:rsid w:val="00DD0369"/>
    <w:rsid w:val="00DD1178"/>
    <w:rsid w:val="00DD3C4B"/>
    <w:rsid w:val="00DE14E4"/>
    <w:rsid w:val="00DE1DEA"/>
    <w:rsid w:val="00DE25AF"/>
    <w:rsid w:val="00DE2DC9"/>
    <w:rsid w:val="00DE4747"/>
    <w:rsid w:val="00DF06CF"/>
    <w:rsid w:val="00E02D4D"/>
    <w:rsid w:val="00E05787"/>
    <w:rsid w:val="00E0604A"/>
    <w:rsid w:val="00E10D8F"/>
    <w:rsid w:val="00E13098"/>
    <w:rsid w:val="00E130E7"/>
    <w:rsid w:val="00E1477A"/>
    <w:rsid w:val="00E24D50"/>
    <w:rsid w:val="00E2715C"/>
    <w:rsid w:val="00E314AE"/>
    <w:rsid w:val="00E37EBF"/>
    <w:rsid w:val="00E411A8"/>
    <w:rsid w:val="00E41757"/>
    <w:rsid w:val="00E432B8"/>
    <w:rsid w:val="00E439F5"/>
    <w:rsid w:val="00E45AC8"/>
    <w:rsid w:val="00E45EE6"/>
    <w:rsid w:val="00E5360D"/>
    <w:rsid w:val="00E60ECE"/>
    <w:rsid w:val="00E62979"/>
    <w:rsid w:val="00E6703B"/>
    <w:rsid w:val="00E71B19"/>
    <w:rsid w:val="00E73C5C"/>
    <w:rsid w:val="00E74969"/>
    <w:rsid w:val="00E876C3"/>
    <w:rsid w:val="00E879A5"/>
    <w:rsid w:val="00E92FA7"/>
    <w:rsid w:val="00EB058E"/>
    <w:rsid w:val="00EB0B6B"/>
    <w:rsid w:val="00EB5654"/>
    <w:rsid w:val="00EB571F"/>
    <w:rsid w:val="00EB6FC4"/>
    <w:rsid w:val="00EC2B5B"/>
    <w:rsid w:val="00EC3A8E"/>
    <w:rsid w:val="00EC46B6"/>
    <w:rsid w:val="00EC4D57"/>
    <w:rsid w:val="00EC6863"/>
    <w:rsid w:val="00ED4023"/>
    <w:rsid w:val="00ED63F1"/>
    <w:rsid w:val="00EE1176"/>
    <w:rsid w:val="00EE13DE"/>
    <w:rsid w:val="00EE2027"/>
    <w:rsid w:val="00EE2812"/>
    <w:rsid w:val="00EE5969"/>
    <w:rsid w:val="00EE5A6B"/>
    <w:rsid w:val="00EE6110"/>
    <w:rsid w:val="00EE6FF3"/>
    <w:rsid w:val="00EF03D0"/>
    <w:rsid w:val="00EF059C"/>
    <w:rsid w:val="00F00DCF"/>
    <w:rsid w:val="00F028AB"/>
    <w:rsid w:val="00F060A6"/>
    <w:rsid w:val="00F074DF"/>
    <w:rsid w:val="00F11086"/>
    <w:rsid w:val="00F12FCF"/>
    <w:rsid w:val="00F14D32"/>
    <w:rsid w:val="00F15626"/>
    <w:rsid w:val="00F22B08"/>
    <w:rsid w:val="00F506FC"/>
    <w:rsid w:val="00F62066"/>
    <w:rsid w:val="00F66AD1"/>
    <w:rsid w:val="00F7188C"/>
    <w:rsid w:val="00F71B38"/>
    <w:rsid w:val="00F766CE"/>
    <w:rsid w:val="00F8002C"/>
    <w:rsid w:val="00F83D52"/>
    <w:rsid w:val="00F84780"/>
    <w:rsid w:val="00F86172"/>
    <w:rsid w:val="00F87CBB"/>
    <w:rsid w:val="00F90B01"/>
    <w:rsid w:val="00F90EC3"/>
    <w:rsid w:val="00F9113A"/>
    <w:rsid w:val="00FA2497"/>
    <w:rsid w:val="00FA692C"/>
    <w:rsid w:val="00FA7FAC"/>
    <w:rsid w:val="00FB41C3"/>
    <w:rsid w:val="00FB717A"/>
    <w:rsid w:val="00FC17B9"/>
    <w:rsid w:val="00FC40B0"/>
    <w:rsid w:val="00FC4F34"/>
    <w:rsid w:val="00FD033C"/>
    <w:rsid w:val="00FD1BA8"/>
    <w:rsid w:val="00FD3A2E"/>
    <w:rsid w:val="00FD3A64"/>
    <w:rsid w:val="00FD3CCC"/>
    <w:rsid w:val="00FD548B"/>
    <w:rsid w:val="00FD6A1B"/>
    <w:rsid w:val="00FE44F4"/>
    <w:rsid w:val="00FF1B98"/>
    <w:rsid w:val="00FF209B"/>
    <w:rsid w:val="00FF37DB"/>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CA1C1-0465-42A4-ACC8-C5B2351B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0D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0D11"/>
    <w:rPr>
      <w:color w:val="0000FF"/>
      <w:u w:val="single"/>
    </w:rPr>
  </w:style>
  <w:style w:type="character" w:customStyle="1" w:styleId="apple-converted-space">
    <w:name w:val="apple-converted-space"/>
    <w:basedOn w:val="DefaultParagraphFont"/>
    <w:rsid w:val="00B00D11"/>
  </w:style>
  <w:style w:type="paragraph" w:customStyle="1" w:styleId="dmbdytxt">
    <w:name w:val="dmbdytxt"/>
    <w:basedOn w:val="Normal"/>
    <w:rsid w:val="00B00D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0D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dthis.com/bookmark.php?v=250&amp;username=xa-4c7609fd7a53d35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gon@bross.vn" TargetMode="External"/><Relationship Id="rId11" Type="http://schemas.openxmlformats.org/officeDocument/2006/relationships/image" Target="media/image3.gif"/><Relationship Id="rId5" Type="http://schemas.openxmlformats.org/officeDocument/2006/relationships/hyperlink" Target="mailto:contact@bross.vn" TargetMode="External"/><Relationship Id="rId10" Type="http://schemas.openxmlformats.org/officeDocument/2006/relationships/image" Target="media/image2.gif"/><Relationship Id="rId4" Type="http://schemas.openxmlformats.org/officeDocument/2006/relationships/hyperlink" Target="http://www.bross.vn/" TargetMode="External"/><Relationship Id="rId9" Type="http://schemas.openxmlformats.org/officeDocument/2006/relationships/hyperlink" Target="mailto:contact@bross.vn?subject=Legal%20News%20Update%20-%20November%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HUYTQ</dc:creator>
  <cp:keywords/>
  <dc:description/>
  <cp:lastModifiedBy>HUYTQ</cp:lastModifiedBy>
  <cp:revision>1</cp:revision>
  <dcterms:created xsi:type="dcterms:W3CDTF">2014-07-02T10:48:00Z</dcterms:created>
  <dcterms:modified xsi:type="dcterms:W3CDTF">2014-07-02T10:49:00Z</dcterms:modified>
</cp:coreProperties>
</file>